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Название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Риск травмирования детей на объектах железнодорожного транспорта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Описание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</w:t>
      </w:r>
      <w:r>
        <w:rPr>
          <w:rFonts w:ascii="Montserrat" w:hAnsi="Montserrat" w:eastAsia="Montserrat" w:cs="Montserrat"/>
          <w:color w:val="000000"/>
          <w:sz w:val="24"/>
        </w:rPr>
        <w:t xml:space="preserve">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 Известны детские шалости с залезанием на вагон, чтобы прокатиться. Нередки случаи травматизма лю</w:t>
      </w:r>
      <w:r>
        <w:rPr>
          <w:rFonts w:ascii="Montserrat" w:hAnsi="Montserrat" w:eastAsia="Montserrat" w:cs="Montserrat"/>
          <w:color w:val="000000"/>
          <w:sz w:val="24"/>
        </w:rPr>
        <w:t xml:space="preserve">дей, идущих вдоль железнодорожных путей или в колее.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Что делать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 стоять близко к краю платформы при приближении поезда;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переходить пути в строго отведенных для этого местах;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не подлазить под вагоны;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пешеходы должны переходить железнодорожные пути только в установленных местах, пользуясь при этом пешеходными мостами,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тоннелями, переездами.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перед переходом пути по пешеходному настилу необходимо убедиться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в отсутствии движущегося подвижного состава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·         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Куда позвонить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Муниципалитеты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Советский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Кондинский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Октябрьский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Берёзовский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Белоярский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Мегион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Когалым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Лангепас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Пыть-Ях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Радужный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Урай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Югорск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Нягань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Покачи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Сезонность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Круглогодичный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Периоды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15.01 - 20.03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05.04 - 20.05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05.07 - 20.09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05.10 - 20.12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2024-07-12T11:46:47Z</dcterms:modified>
</cp:coreProperties>
</file>